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2021年第二季度“双公示”工作省内评估指标</w:t>
      </w:r>
    </w:p>
    <w:tbl>
      <w:tblPr>
        <w:tblStyle w:val="2"/>
        <w:tblW w:w="5680" w:type="pct"/>
        <w:tblInd w:w="-998" w:type="dxa"/>
        <w:tblLayout w:type="autofit"/>
        <w:tblCellMar>
          <w:top w:w="0" w:type="dxa"/>
          <w:left w:w="108" w:type="dxa"/>
          <w:bottom w:w="0" w:type="dxa"/>
          <w:right w:w="108" w:type="dxa"/>
        </w:tblCellMar>
      </w:tblPr>
      <w:tblGrid>
        <w:gridCol w:w="760"/>
        <w:gridCol w:w="2129"/>
        <w:gridCol w:w="2116"/>
        <w:gridCol w:w="3347"/>
        <w:gridCol w:w="1520"/>
        <w:gridCol w:w="6230"/>
      </w:tblGrid>
      <w:tr>
        <w:tblPrEx>
          <w:tblCellMar>
            <w:top w:w="0" w:type="dxa"/>
            <w:left w:w="108" w:type="dxa"/>
            <w:bottom w:w="0" w:type="dxa"/>
            <w:right w:w="108" w:type="dxa"/>
          </w:tblCellMar>
        </w:tblPrEx>
        <w:trPr>
          <w:trHeight w:val="560" w:hRule="atLeast"/>
          <w:tblHeader/>
        </w:trPr>
        <w:tc>
          <w:tcPr>
            <w:tcW w:w="2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661"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一级指标及权重</w:t>
            </w:r>
          </w:p>
        </w:tc>
        <w:tc>
          <w:tcPr>
            <w:tcW w:w="65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二级指标及权重</w:t>
            </w:r>
          </w:p>
        </w:tc>
        <w:tc>
          <w:tcPr>
            <w:tcW w:w="103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评分说明</w:t>
            </w:r>
          </w:p>
        </w:tc>
        <w:tc>
          <w:tcPr>
            <w:tcW w:w="472"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数据来源</w:t>
            </w:r>
          </w:p>
        </w:tc>
        <w:tc>
          <w:tcPr>
            <w:tcW w:w="1934"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备注</w:t>
            </w:r>
          </w:p>
        </w:tc>
      </w:tr>
      <w:tr>
        <w:tblPrEx>
          <w:tblCellMar>
            <w:top w:w="0" w:type="dxa"/>
            <w:left w:w="108" w:type="dxa"/>
            <w:bottom w:w="0" w:type="dxa"/>
            <w:right w:w="108" w:type="dxa"/>
          </w:tblCellMar>
        </w:tblPrEx>
        <w:trPr>
          <w:trHeight w:val="2507"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w:t>
            </w:r>
          </w:p>
        </w:tc>
        <w:tc>
          <w:tcPr>
            <w:tcW w:w="661"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一、数据数量（25%）</w:t>
            </w: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完整性（25%）</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得分=（1-瞒报率）×25，即瞒报率每升高1％减0.25分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信用平台</w:t>
            </w:r>
            <w:r>
              <w:rPr>
                <w:rFonts w:hint="eastAsia" w:ascii="仿宋" w:hAnsi="仿宋" w:eastAsia="仿宋" w:cs="宋体"/>
                <w:color w:val="000000"/>
                <w:kern w:val="0"/>
                <w:sz w:val="18"/>
                <w:szCs w:val="18"/>
              </w:rPr>
              <w:t>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 瞒报率=被抽查部门瞒报率平均值。</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被抽查部门瞒报率=台账瞒报数据量/台账数据量。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 瞒报数据：抽查台账中的未报送数据。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注：（1）将被抽查部门提供的“双公示”信息台账记录与“双公示”信息上报系统中上报数据进行比对，台账中有而上报系统中无的数据即为瞒报数据。</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（2）依规不归集上报的数据不计入瞒报数据，如简易程序处罚等。</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（3）上报数据包括疑问数据、错误数据等。</w:t>
            </w:r>
          </w:p>
        </w:tc>
      </w:tr>
      <w:tr>
        <w:tblPrEx>
          <w:tblCellMar>
            <w:top w:w="0" w:type="dxa"/>
            <w:left w:w="108" w:type="dxa"/>
            <w:bottom w:w="0" w:type="dxa"/>
            <w:right w:w="108" w:type="dxa"/>
          </w:tblCellMar>
        </w:tblPrEx>
        <w:trPr>
          <w:trHeight w:val="572"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p>
        </w:tc>
        <w:tc>
          <w:tcPr>
            <w:tcW w:w="66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二、数据质量（45%）</w:t>
            </w: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及时性（20%）</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得分=（1-迟报率）x20，即迟报率每升高1%减0.2分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信用平台</w:t>
            </w:r>
            <w:r>
              <w:rPr>
                <w:rFonts w:hint="eastAsia" w:ascii="仿宋" w:hAnsi="仿宋" w:eastAsia="仿宋" w:cs="宋体"/>
                <w:color w:val="000000"/>
                <w:kern w:val="0"/>
                <w:sz w:val="18"/>
                <w:szCs w:val="18"/>
              </w:rPr>
              <w:t>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汇集系统2021年</w:t>
            </w:r>
            <w:r>
              <w:rPr>
                <w:rFonts w:hint="eastAsia" w:ascii="仿宋" w:hAnsi="仿宋" w:eastAsia="仿宋" w:cs="宋体"/>
                <w:color w:val="000000"/>
                <w:kern w:val="0"/>
                <w:sz w:val="18"/>
                <w:szCs w:val="18"/>
                <w:lang w:val="en-US" w:eastAsia="zh-CN"/>
              </w:rPr>
              <w:t>1</w:t>
            </w:r>
            <w:r>
              <w:rPr>
                <w:rFonts w:hint="eastAsia" w:ascii="仿宋" w:hAnsi="仿宋" w:eastAsia="仿宋" w:cs="宋体"/>
                <w:color w:val="000000"/>
                <w:kern w:val="0"/>
                <w:sz w:val="18"/>
                <w:szCs w:val="18"/>
              </w:rPr>
              <w:t>-6月迟报情况统计结果</w:t>
            </w:r>
          </w:p>
        </w:tc>
      </w:tr>
      <w:tr>
        <w:tblPrEx>
          <w:tblCellMar>
            <w:top w:w="0" w:type="dxa"/>
            <w:left w:w="108" w:type="dxa"/>
            <w:bottom w:w="0" w:type="dxa"/>
            <w:right w:w="108" w:type="dxa"/>
          </w:tblCellMar>
        </w:tblPrEx>
        <w:trPr>
          <w:trHeight w:val="354"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3</w:t>
            </w:r>
          </w:p>
        </w:tc>
        <w:tc>
          <w:tcPr>
            <w:tcW w:w="661"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合规性（20%）</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得分=合规率×20，即合规率每降低1%减0.2分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lang w:eastAsia="zh-CN"/>
              </w:rPr>
              <w:t>信用平台</w:t>
            </w:r>
            <w:r>
              <w:rPr>
                <w:rFonts w:hint="eastAsia" w:ascii="仿宋" w:hAnsi="仿宋" w:eastAsia="仿宋" w:cs="宋体"/>
                <w:color w:val="000000"/>
                <w:kern w:val="0"/>
                <w:sz w:val="18"/>
                <w:szCs w:val="18"/>
              </w:rPr>
              <w:t>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汇集系统2021年</w:t>
            </w:r>
            <w:r>
              <w:rPr>
                <w:rFonts w:hint="eastAsia" w:ascii="仿宋" w:hAnsi="仿宋" w:eastAsia="仿宋" w:cs="宋体"/>
                <w:color w:val="000000"/>
                <w:kern w:val="0"/>
                <w:sz w:val="18"/>
                <w:szCs w:val="18"/>
                <w:lang w:val="en-US" w:eastAsia="zh-CN"/>
              </w:rPr>
              <w:t>1</w:t>
            </w:r>
            <w:r>
              <w:rPr>
                <w:rFonts w:hint="eastAsia" w:ascii="仿宋" w:hAnsi="仿宋" w:eastAsia="仿宋" w:cs="宋体"/>
                <w:color w:val="000000"/>
                <w:kern w:val="0"/>
                <w:sz w:val="18"/>
                <w:szCs w:val="18"/>
              </w:rPr>
              <w:t>-6月合规情况统计结果</w:t>
            </w:r>
          </w:p>
        </w:tc>
      </w:tr>
      <w:tr>
        <w:tblPrEx>
          <w:tblCellMar>
            <w:top w:w="0" w:type="dxa"/>
            <w:left w:w="108" w:type="dxa"/>
            <w:bottom w:w="0" w:type="dxa"/>
            <w:right w:w="108" w:type="dxa"/>
          </w:tblCellMar>
        </w:tblPrEx>
        <w:trPr>
          <w:trHeight w:val="3836"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4</w:t>
            </w:r>
          </w:p>
        </w:tc>
        <w:tc>
          <w:tcPr>
            <w:tcW w:w="661"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准确性（5%）</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1.异议数量得分:省有效异议加权值小于百万分之一(包含)的,得3分;大于百万分之一且小于百万分之五（包含)的，得2分;大于百万分之五且小于十万分之一(包含)的，得1分的;大于十万分之一的，不得分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2.权益保护得分:满分为2分，有效异议反映的错误数据中每有1条严重危害主体权益的，减1分，大于等于2条该项不得分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3.总分=异议数量得分+权益保护得分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国家“双公示”信息上报系统提供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1.有效异议加权值=有效异议量/公示数据量。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2.有效异议量由“信用中国”网站公示数据异议申诉系统提供，有效异议量统计标准为符合异议申诉要求且处理完成的异议申诉数量。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3.有效异议或疑义数据量为0的，得3分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4.严重危害主体权益的错误数据类型为主体上报错误的行政处罚信息。</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5.有效异议中无严重危害主体权益错误数据的，权益保护得分为2分。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注：公示数据量为2021年6月30日“信用中国”网站公示的各省“双公示”数据量。</w:t>
            </w:r>
          </w:p>
        </w:tc>
      </w:tr>
      <w:tr>
        <w:tblPrEx>
          <w:tblCellMar>
            <w:top w:w="0" w:type="dxa"/>
            <w:left w:w="108" w:type="dxa"/>
            <w:bottom w:w="0" w:type="dxa"/>
            <w:right w:w="108" w:type="dxa"/>
          </w:tblCellMar>
        </w:tblPrEx>
        <w:trPr>
          <w:trHeight w:val="1616"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5</w:t>
            </w:r>
          </w:p>
        </w:tc>
        <w:tc>
          <w:tcPr>
            <w:tcW w:w="661" w:type="pct"/>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三、规范高效（20%）</w:t>
            </w: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异议溯源核实规范（5%）</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开展行政处罚信息信用修复核查工作中，未按政策执行被投诉至“信用</w:t>
            </w:r>
            <w:r>
              <w:rPr>
                <w:rFonts w:hint="eastAsia" w:ascii="仿宋" w:hAnsi="仿宋" w:eastAsia="仿宋" w:cs="宋体"/>
                <w:color w:val="000000"/>
                <w:kern w:val="0"/>
                <w:sz w:val="18"/>
                <w:szCs w:val="18"/>
                <w:lang w:eastAsia="zh-CN"/>
              </w:rPr>
              <w:t>黄石</w:t>
            </w:r>
            <w:r>
              <w:rPr>
                <w:rFonts w:hint="eastAsia" w:ascii="仿宋" w:hAnsi="仿宋" w:eastAsia="仿宋" w:cs="宋体"/>
                <w:color w:val="000000"/>
                <w:kern w:val="0"/>
                <w:sz w:val="18"/>
                <w:szCs w:val="18"/>
              </w:rPr>
              <w:t>”网站并经确认的，每1次扣1分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评估期内有效投诉达到3次及以上的，该项不得分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w:t>
            </w:r>
            <w:r>
              <w:rPr>
                <w:rFonts w:hint="eastAsia" w:ascii="仿宋" w:hAnsi="仿宋" w:eastAsia="仿宋" w:cs="宋体"/>
                <w:color w:val="000000"/>
                <w:kern w:val="0"/>
                <w:sz w:val="18"/>
                <w:szCs w:val="18"/>
                <w:lang w:eastAsia="zh-CN"/>
              </w:rPr>
              <w:t>黄石</w:t>
            </w:r>
            <w:r>
              <w:rPr>
                <w:rFonts w:hint="eastAsia" w:ascii="仿宋" w:hAnsi="仿宋" w:eastAsia="仿宋" w:cs="宋体"/>
                <w:color w:val="000000"/>
                <w:kern w:val="0"/>
                <w:sz w:val="18"/>
                <w:szCs w:val="18"/>
              </w:rPr>
              <w:t>”网站公示数据异议申诉系统提供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应严格按照相关工作要求开展溯源核实，如未向数据源单位进行实质核查，视同未按规定处理。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注：以事实为依据进行判定，包括被举报、投诉等经调查核实的，或前后核实意见不一致经调查确认的。</w:t>
            </w:r>
          </w:p>
        </w:tc>
      </w:tr>
      <w:tr>
        <w:tblPrEx>
          <w:tblCellMar>
            <w:top w:w="0" w:type="dxa"/>
            <w:left w:w="108" w:type="dxa"/>
            <w:bottom w:w="0" w:type="dxa"/>
            <w:right w:w="108" w:type="dxa"/>
          </w:tblCellMar>
        </w:tblPrEx>
        <w:trPr>
          <w:trHeight w:val="1200"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6</w:t>
            </w:r>
          </w:p>
        </w:tc>
        <w:tc>
          <w:tcPr>
            <w:tcW w:w="661"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信用修复核查规范（5%）</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得分=（1-核查错误率*10）×5，即核查错误率每升高1％减0.5分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核查错误率超过2%的，该项不得分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“信用中国”网站信用修复系统提供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 核查错误率=核查有误数量/流转到复审环节的申请总数；</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  核查有误数量=复审拒绝数量+复审退回数量。</w:t>
            </w:r>
          </w:p>
        </w:tc>
      </w:tr>
      <w:tr>
        <w:tblPrEx>
          <w:tblCellMar>
            <w:top w:w="0" w:type="dxa"/>
            <w:left w:w="108" w:type="dxa"/>
            <w:bottom w:w="0" w:type="dxa"/>
            <w:right w:w="108" w:type="dxa"/>
          </w:tblCellMar>
        </w:tblPrEx>
        <w:trPr>
          <w:trHeight w:val="1361"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7</w:t>
            </w:r>
          </w:p>
        </w:tc>
        <w:tc>
          <w:tcPr>
            <w:tcW w:w="661"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异议协同处理及时（5%）</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异议协同处理平均时间在5个工作日以内的,得5分，每增加1天减1分，大于等于10个工作日，该项不得分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双公示上报系统数确认库、以异议申诉台账提供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1.异议协同处理平均时间=有效异议协同处理时间总和/有效异议数量。</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2.协同处理时间指异议申诉通知各市州至各市州反馈完成时间。</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 xml:space="preserve">注：有效异议协同处理时间包括异议申诉核实反馈、正确数据上传等，单位为“天（工作日 ) ”。   </w:t>
            </w:r>
          </w:p>
        </w:tc>
      </w:tr>
      <w:tr>
        <w:tblPrEx>
          <w:tblCellMar>
            <w:top w:w="0" w:type="dxa"/>
            <w:left w:w="108" w:type="dxa"/>
            <w:bottom w:w="0" w:type="dxa"/>
            <w:right w:w="108" w:type="dxa"/>
          </w:tblCellMar>
        </w:tblPrEx>
        <w:trPr>
          <w:trHeight w:val="987"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8</w:t>
            </w:r>
          </w:p>
        </w:tc>
        <w:tc>
          <w:tcPr>
            <w:tcW w:w="661" w:type="pct"/>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信用修复核查及时（5%）</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行政处罚信息信用修复核查出现超期未处理情况的,有1条超过规定处理期限的扣1分;大于等于5条，该项不得分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“信用中国”网站信用修复系统提供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根据台账中记录情况，出现一次超期，扣1分，扣完为止。</w:t>
            </w:r>
          </w:p>
        </w:tc>
      </w:tr>
      <w:tr>
        <w:tblPrEx>
          <w:tblCellMar>
            <w:top w:w="0" w:type="dxa"/>
            <w:left w:w="108" w:type="dxa"/>
            <w:bottom w:w="0" w:type="dxa"/>
            <w:right w:w="108" w:type="dxa"/>
          </w:tblCellMar>
        </w:tblPrEx>
        <w:trPr>
          <w:trHeight w:val="1147"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9</w:t>
            </w:r>
          </w:p>
        </w:tc>
        <w:tc>
          <w:tcPr>
            <w:tcW w:w="66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numPr>
                <w:ilvl w:val="0"/>
                <w:numId w:val="1"/>
              </w:numPr>
              <w:kinsoku/>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rPr>
            </w:pPr>
            <w:r>
              <w:rPr>
                <w:rFonts w:hint="eastAsia" w:ascii="仿宋" w:hAnsi="仿宋" w:eastAsia="仿宋" w:cs="宋体"/>
                <w:color w:val="000000"/>
                <w:kern w:val="0"/>
                <w:sz w:val="18"/>
                <w:szCs w:val="18"/>
              </w:rPr>
              <w:t>同步更新( 10%)</w:t>
            </w:r>
          </w:p>
          <w:p>
            <w:pPr>
              <w:keepNext w:val="0"/>
              <w:keepLines w:val="0"/>
              <w:pageBreakBefore w:val="0"/>
              <w:widowControl/>
              <w:numPr>
                <w:ilvl w:val="0"/>
                <w:numId w:val="0"/>
              </w:numPr>
              <w:kinsoku/>
              <w:overflowPunct/>
              <w:topLinePunct w:val="0"/>
              <w:autoSpaceDE/>
              <w:autoSpaceDN/>
              <w:bidi w:val="0"/>
              <w:adjustRightInd/>
              <w:snapToGrid/>
              <w:spacing w:line="560" w:lineRule="exact"/>
              <w:jc w:val="center"/>
              <w:textAlignment w:val="auto"/>
              <w:rPr>
                <w:rFonts w:hint="eastAsia" w:ascii="仿宋" w:hAnsi="仿宋" w:eastAsia="仿宋" w:cs="宋体"/>
                <w:color w:val="000000"/>
                <w:kern w:val="0"/>
                <w:sz w:val="18"/>
                <w:szCs w:val="18"/>
                <w:lang w:eastAsia="zh-CN"/>
              </w:rPr>
            </w:pPr>
            <w:r>
              <w:rPr>
                <w:rFonts w:hint="eastAsia" w:ascii="仿宋" w:hAnsi="仿宋" w:eastAsia="仿宋" w:cs="宋体"/>
                <w:color w:val="000000"/>
                <w:kern w:val="0"/>
                <w:sz w:val="18"/>
                <w:szCs w:val="18"/>
                <w:lang w:eastAsia="zh-CN"/>
              </w:rPr>
              <w:t>（市直单位检查单位网站、县市区检查政府门户网站）</w:t>
            </w: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异议处理同步更新（2%）</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信用门户网站未及时更新异议数据的，有1条未同步的扣1分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“信用中国”网站公示数据异议申诉系统提供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随机抽查2条地方报送且已异议更新的“双公示”数据，经推送结果信息后，各省及城市信用网站有1条未能及时更新状态的扣1分。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注:随机抽查2021年</w:t>
            </w:r>
            <w:r>
              <w:rPr>
                <w:rFonts w:hint="eastAsia" w:ascii="仿宋" w:hAnsi="仿宋" w:eastAsia="仿宋" w:cs="宋体"/>
                <w:color w:val="000000"/>
                <w:kern w:val="0"/>
                <w:sz w:val="18"/>
                <w:szCs w:val="18"/>
                <w:lang w:val="en-US" w:eastAsia="zh-CN"/>
              </w:rPr>
              <w:t>1</w:t>
            </w:r>
            <w:r>
              <w:rPr>
                <w:rFonts w:hint="eastAsia" w:ascii="仿宋" w:hAnsi="仿宋" w:eastAsia="仿宋" w:cs="宋体"/>
                <w:color w:val="000000"/>
                <w:kern w:val="0"/>
                <w:sz w:val="18"/>
                <w:szCs w:val="18"/>
              </w:rPr>
              <w:t>月1日-2021年6月30日期间异议更新的“双公示”数据。</w:t>
            </w:r>
          </w:p>
        </w:tc>
      </w:tr>
      <w:tr>
        <w:tblPrEx>
          <w:tblCellMar>
            <w:top w:w="0" w:type="dxa"/>
            <w:left w:w="108" w:type="dxa"/>
            <w:bottom w:w="0" w:type="dxa"/>
            <w:right w:w="108" w:type="dxa"/>
          </w:tblCellMar>
        </w:tblPrEx>
        <w:trPr>
          <w:trHeight w:val="1303" w:hRule="atLeast"/>
        </w:trPr>
        <w:tc>
          <w:tcPr>
            <w:tcW w:w="23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10</w:t>
            </w:r>
          </w:p>
        </w:tc>
        <w:tc>
          <w:tcPr>
            <w:tcW w:w="661" w:type="pct"/>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p>
        </w:tc>
        <w:tc>
          <w:tcPr>
            <w:tcW w:w="65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信用修复同步更新（ 8%)</w:t>
            </w:r>
          </w:p>
        </w:tc>
        <w:tc>
          <w:tcPr>
            <w:tcW w:w="103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信用门户网站需在当日完成已修复结果数据更新，有1条未同步的扣1分</w:t>
            </w:r>
          </w:p>
        </w:tc>
        <w:tc>
          <w:tcPr>
            <w:tcW w:w="472"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center"/>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“信用中国”网站信用修复系统提供</w:t>
            </w:r>
          </w:p>
        </w:tc>
        <w:tc>
          <w:tcPr>
            <w:tcW w:w="193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rPr>
                <w:rFonts w:ascii="仿宋" w:hAnsi="仿宋" w:eastAsia="仿宋" w:cs="宋体"/>
                <w:color w:val="000000"/>
                <w:kern w:val="0"/>
                <w:sz w:val="18"/>
                <w:szCs w:val="18"/>
              </w:rPr>
            </w:pPr>
            <w:r>
              <w:rPr>
                <w:rFonts w:hint="eastAsia" w:ascii="仿宋" w:hAnsi="仿宋" w:eastAsia="仿宋" w:cs="宋体"/>
                <w:color w:val="000000"/>
                <w:kern w:val="0"/>
                <w:sz w:val="18"/>
                <w:szCs w:val="18"/>
              </w:rPr>
              <w:t>随机抽查8条地方报送且已修复的行政处罚数据，经推送结果信息后，各网站有1条未能及时更新状态的扣1分。地方法律法规另有规定的暂不扣分。</w:t>
            </w:r>
            <w:r>
              <w:rPr>
                <w:rFonts w:hint="eastAsia" w:ascii="仿宋" w:hAnsi="仿宋" w:eastAsia="仿宋" w:cs="宋体"/>
                <w:color w:val="000000"/>
                <w:kern w:val="0"/>
                <w:sz w:val="18"/>
                <w:szCs w:val="18"/>
              </w:rPr>
              <w:br w:type="textWrapping"/>
            </w:r>
            <w:r>
              <w:rPr>
                <w:rFonts w:hint="eastAsia" w:ascii="仿宋" w:hAnsi="仿宋" w:eastAsia="仿宋" w:cs="宋体"/>
                <w:color w:val="000000"/>
                <w:kern w:val="0"/>
                <w:sz w:val="18"/>
                <w:szCs w:val="18"/>
              </w:rPr>
              <w:t>注:随机抽查2021年</w:t>
            </w:r>
            <w:r>
              <w:rPr>
                <w:rFonts w:hint="eastAsia" w:ascii="仿宋" w:hAnsi="仿宋" w:eastAsia="仿宋" w:cs="宋体"/>
                <w:color w:val="000000"/>
                <w:kern w:val="0"/>
                <w:sz w:val="18"/>
                <w:szCs w:val="18"/>
                <w:lang w:val="en-US" w:eastAsia="zh-CN"/>
              </w:rPr>
              <w:t>1</w:t>
            </w:r>
            <w:r>
              <w:rPr>
                <w:rFonts w:hint="eastAsia" w:ascii="仿宋" w:hAnsi="仿宋" w:eastAsia="仿宋" w:cs="宋体"/>
                <w:color w:val="000000"/>
                <w:kern w:val="0"/>
                <w:sz w:val="18"/>
                <w:szCs w:val="18"/>
              </w:rPr>
              <w:t>月1日-2021年6月30日期间修复的行政处罚数据。</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C9E1F"/>
    <w:multiLevelType w:val="singleLevel"/>
    <w:tmpl w:val="016C9E1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31E40"/>
    <w:rsid w:val="4C33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2021-07-16T08:22:00Z</dcterms:created>
  <dc:creator>阿涛丶</dc:creator>
  <cp:lastModifiedBy>阿涛丶</cp:lastModifiedBy>
  <dcterms:modified xsi:type="dcterms:W3CDTF">2021-07-16T08:22:58Z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5995F8384EEB466D872F59F5E04CA1EC</vt:lpwstr>
  </property>
</Properties>
</file>